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2DEB327" w:rsidR="00A102F7" w:rsidRDefault="00930D8E">
      <w:pPr>
        <w:spacing w:before="240" w:after="240"/>
        <w:rPr>
          <w:rFonts w:ascii="Times New Roman" w:eastAsia="Times New Roman" w:hAnsi="Times New Roman" w:cs="Times New Roman"/>
          <w:sz w:val="24"/>
          <w:szCs w:val="24"/>
        </w:rPr>
      </w:pPr>
      <w:r w:rsidRPr="00930D8E">
        <w:rPr>
          <w:rFonts w:ascii="Times New Roman" w:eastAsia="Times New Roman" w:hAnsi="Times New Roman" w:cs="Times New Roman"/>
          <w:i/>
          <w:iCs/>
          <w:sz w:val="24"/>
          <w:szCs w:val="24"/>
        </w:rPr>
        <w:t>Words in Action: An Introduction to Social Philosophy of Language</w:t>
      </w:r>
      <w:r>
        <w:rPr>
          <w:rFonts w:ascii="Times New Roman" w:eastAsia="Times New Roman" w:hAnsi="Times New Roman" w:cs="Times New Roman"/>
          <w:sz w:val="24"/>
          <w:szCs w:val="24"/>
        </w:rPr>
        <w:t>. Ishani Maitra and Mary Kate McGowan. Oxford University Press, Oxford (2025), 347 pp., ISBN 9780190929022, USD99 (Paperback)</w:t>
      </w:r>
    </w:p>
    <w:p w14:paraId="00000002" w14:textId="2B537FE7" w:rsidR="00A102F7" w:rsidRDefault="00BD38AA">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F534F6">
        <w:rPr>
          <w:rFonts w:ascii="Times New Roman" w:eastAsia="Times New Roman" w:hAnsi="Times New Roman" w:cs="Times New Roman"/>
          <w:sz w:val="24"/>
          <w:szCs w:val="24"/>
        </w:rPr>
        <w:t xml:space="preserve">hilosophy of language </w:t>
      </w:r>
      <w:r>
        <w:rPr>
          <w:rFonts w:ascii="Times New Roman" w:eastAsia="Times New Roman" w:hAnsi="Times New Roman" w:cs="Times New Roman"/>
          <w:sz w:val="24"/>
          <w:szCs w:val="24"/>
        </w:rPr>
        <w:t>underwent a major change in the latter half of the 20</w:t>
      </w:r>
      <w:r w:rsidRPr="00BD38AA">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Century</w:t>
      </w:r>
      <w:r w:rsidR="00F534F6">
        <w:rPr>
          <w:rFonts w:ascii="Times New Roman" w:eastAsia="Times New Roman" w:hAnsi="Times New Roman" w:cs="Times New Roman"/>
          <w:sz w:val="24"/>
          <w:szCs w:val="24"/>
        </w:rPr>
        <w:t xml:space="preserve">. </w:t>
      </w:r>
      <w:r w:rsidR="007B697B">
        <w:rPr>
          <w:rFonts w:ascii="Times New Roman" w:eastAsia="Times New Roman" w:hAnsi="Times New Roman" w:cs="Times New Roman"/>
          <w:sz w:val="24"/>
          <w:szCs w:val="24"/>
        </w:rPr>
        <w:t xml:space="preserve">It had </w:t>
      </w:r>
      <w:r w:rsidR="003E21E5">
        <w:rPr>
          <w:rFonts w:ascii="Times New Roman" w:eastAsia="Times New Roman" w:hAnsi="Times New Roman" w:cs="Times New Roman"/>
          <w:sz w:val="24"/>
          <w:szCs w:val="24"/>
        </w:rPr>
        <w:t xml:space="preserve">traditionally </w:t>
      </w:r>
      <w:r w:rsidR="007B697B">
        <w:rPr>
          <w:rFonts w:ascii="Times New Roman" w:eastAsia="Times New Roman" w:hAnsi="Times New Roman" w:cs="Times New Roman"/>
          <w:sz w:val="24"/>
          <w:szCs w:val="24"/>
        </w:rPr>
        <w:t xml:space="preserve">been very philosophically engaged. </w:t>
      </w:r>
      <w:r w:rsidR="00F534F6">
        <w:rPr>
          <w:rFonts w:ascii="Times New Roman" w:eastAsia="Times New Roman" w:hAnsi="Times New Roman" w:cs="Times New Roman"/>
          <w:sz w:val="24"/>
          <w:szCs w:val="24"/>
        </w:rPr>
        <w:t xml:space="preserve">In ancient Greek philosophy, </w:t>
      </w:r>
      <w:r w:rsidR="003E21E5">
        <w:rPr>
          <w:rFonts w:ascii="Times New Roman" w:eastAsia="Times New Roman" w:hAnsi="Times New Roman" w:cs="Times New Roman"/>
          <w:sz w:val="24"/>
          <w:szCs w:val="24"/>
        </w:rPr>
        <w:t xml:space="preserve">for instance, </w:t>
      </w:r>
      <w:r w:rsidR="00F534F6">
        <w:rPr>
          <w:rFonts w:ascii="Times New Roman" w:eastAsia="Times New Roman" w:hAnsi="Times New Roman" w:cs="Times New Roman"/>
          <w:sz w:val="24"/>
          <w:szCs w:val="24"/>
        </w:rPr>
        <w:t xml:space="preserve">questions about language were embedded within broader ethical and political inquiries concerning persuasion, civic life, and the good. Medieval philosophy shifted attention toward metaphysics and theology, where language mattered primarily as a medium for reference, truth, and divine meaning. By the </w:t>
      </w:r>
      <w:r>
        <w:rPr>
          <w:rFonts w:ascii="Times New Roman" w:eastAsia="Times New Roman" w:hAnsi="Times New Roman" w:cs="Times New Roman"/>
          <w:sz w:val="24"/>
          <w:szCs w:val="24"/>
        </w:rPr>
        <w:t>1970s</w:t>
      </w:r>
      <w:r w:rsidR="00F534F6">
        <w:rPr>
          <w:rFonts w:ascii="Times New Roman" w:eastAsia="Times New Roman" w:hAnsi="Times New Roman" w:cs="Times New Roman"/>
          <w:sz w:val="24"/>
          <w:szCs w:val="24"/>
        </w:rPr>
        <w:t xml:space="preserve">, </w:t>
      </w:r>
      <w:r w:rsidR="007B697B">
        <w:rPr>
          <w:rFonts w:ascii="Times New Roman" w:eastAsia="Times New Roman" w:hAnsi="Times New Roman" w:cs="Times New Roman"/>
          <w:sz w:val="24"/>
          <w:szCs w:val="24"/>
        </w:rPr>
        <w:t xml:space="preserve">however, </w:t>
      </w:r>
      <w:r w:rsidR="00945987">
        <w:rPr>
          <w:rFonts w:ascii="Times New Roman" w:eastAsia="Times New Roman" w:hAnsi="Times New Roman" w:cs="Times New Roman"/>
          <w:sz w:val="24"/>
          <w:szCs w:val="24"/>
        </w:rPr>
        <w:t xml:space="preserve">especially in the Analytic tradition, </w:t>
      </w:r>
      <w:r w:rsidR="00F534F6">
        <w:rPr>
          <w:rFonts w:ascii="Times New Roman" w:eastAsia="Times New Roman" w:hAnsi="Times New Roman" w:cs="Times New Roman"/>
          <w:sz w:val="24"/>
          <w:szCs w:val="24"/>
        </w:rPr>
        <w:t xml:space="preserve">philosophy of language had become increasingly aligned with formal logic, </w:t>
      </w:r>
      <w:proofErr w:type="gramStart"/>
      <w:r w:rsidR="00FE455B">
        <w:rPr>
          <w:rFonts w:ascii="Times New Roman" w:eastAsia="Times New Roman" w:hAnsi="Times New Roman" w:cs="Times New Roman"/>
          <w:sz w:val="24"/>
          <w:szCs w:val="24"/>
        </w:rPr>
        <w:t>empirically-grounded</w:t>
      </w:r>
      <w:proofErr w:type="gramEnd"/>
      <w:r w:rsidR="00FE455B">
        <w:rPr>
          <w:rFonts w:ascii="Times New Roman" w:eastAsia="Times New Roman" w:hAnsi="Times New Roman" w:cs="Times New Roman"/>
          <w:sz w:val="24"/>
          <w:szCs w:val="24"/>
        </w:rPr>
        <w:t xml:space="preserve"> </w:t>
      </w:r>
      <w:r w:rsidR="00F534F6">
        <w:rPr>
          <w:rFonts w:ascii="Times New Roman" w:eastAsia="Times New Roman" w:hAnsi="Times New Roman" w:cs="Times New Roman"/>
          <w:sz w:val="24"/>
          <w:szCs w:val="24"/>
        </w:rPr>
        <w:t xml:space="preserve">semantics, and </w:t>
      </w:r>
      <w:r>
        <w:rPr>
          <w:rFonts w:ascii="Times New Roman" w:eastAsia="Times New Roman" w:hAnsi="Times New Roman" w:cs="Times New Roman"/>
          <w:sz w:val="24"/>
          <w:szCs w:val="24"/>
        </w:rPr>
        <w:t xml:space="preserve">highly </w:t>
      </w:r>
      <w:r w:rsidR="00F534F6">
        <w:rPr>
          <w:rFonts w:ascii="Times New Roman" w:eastAsia="Times New Roman" w:hAnsi="Times New Roman" w:cs="Times New Roman"/>
          <w:sz w:val="24"/>
          <w:szCs w:val="24"/>
        </w:rPr>
        <w:t>idealized models of communication. This shift generated powerful analytic tools, but it also narrowed the field’s scope, rendering much of its work highly technical, accessible primarily to specialists, and seemingly detached from questions of power, social practice, and moral responsibility.</w:t>
      </w:r>
      <w:r w:rsidR="00945987">
        <w:rPr>
          <w:rFonts w:ascii="Times New Roman" w:eastAsia="Times New Roman" w:hAnsi="Times New Roman" w:cs="Times New Roman"/>
          <w:sz w:val="24"/>
          <w:szCs w:val="24"/>
        </w:rPr>
        <w:t xml:space="preserve"> </w:t>
      </w:r>
    </w:p>
    <w:p w14:paraId="6CCF84BB" w14:textId="5578DA0E" w:rsidR="007B697B" w:rsidRDefault="00F534F6">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Words in Action: An Introduction to the Social Philosophy of Language</w:t>
      </w:r>
      <w:r>
        <w:rPr>
          <w:rFonts w:ascii="Times New Roman" w:eastAsia="Times New Roman" w:hAnsi="Times New Roman" w:cs="Times New Roman"/>
          <w:sz w:val="24"/>
          <w:szCs w:val="24"/>
        </w:rPr>
        <w:t xml:space="preserve"> emerges from, and exemplifies, a feminist reorientation of philosophy of language that seeks to correct this detachment. </w:t>
      </w:r>
      <w:r w:rsidR="007B697B">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book treats language not as an abstract system but as a socially embedded practice through which authority is exercised, norms are enforced, identities are negotiated, and harms are produced or resisted. Throughout the text, attention is paid not only to linguistic form and meaning but also to </w:t>
      </w:r>
      <w:r w:rsidR="00FC59AB">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background conditions that enable or block speech, including institutional structures, social expectations, and asymmetries of power. Importantly, the book foregrounds the extra-linguistic consequences of linguistic acts: how failures of uptake, patterns of </w:t>
      </w:r>
      <w:proofErr w:type="gramStart"/>
      <w:r>
        <w:rPr>
          <w:rFonts w:ascii="Times New Roman" w:eastAsia="Times New Roman" w:hAnsi="Times New Roman" w:cs="Times New Roman"/>
          <w:sz w:val="24"/>
          <w:szCs w:val="24"/>
        </w:rPr>
        <w:t>silencing</w:t>
      </w:r>
      <w:proofErr w:type="gramEnd"/>
      <w:r>
        <w:rPr>
          <w:rFonts w:ascii="Times New Roman" w:eastAsia="Times New Roman" w:hAnsi="Times New Roman" w:cs="Times New Roman"/>
          <w:sz w:val="24"/>
          <w:szCs w:val="24"/>
        </w:rPr>
        <w:t xml:space="preserve">, or entrenched conventions can generate material and moral harms beyond language itself. </w:t>
      </w:r>
      <w:r>
        <w:rPr>
          <w:rFonts w:ascii="Times New Roman" w:eastAsia="Times New Roman" w:hAnsi="Times New Roman" w:cs="Times New Roman"/>
          <w:i/>
          <w:iCs/>
          <w:sz w:val="24"/>
          <w:szCs w:val="24"/>
        </w:rPr>
        <w:t>Words in Action</w:t>
      </w:r>
      <w:r>
        <w:rPr>
          <w:rFonts w:ascii="Times New Roman" w:eastAsia="Times New Roman" w:hAnsi="Times New Roman" w:cs="Times New Roman"/>
          <w:sz w:val="24"/>
          <w:szCs w:val="24"/>
        </w:rPr>
        <w:t xml:space="preserve"> </w:t>
      </w:r>
      <w:r w:rsidR="00945987">
        <w:rPr>
          <w:rFonts w:ascii="Times New Roman" w:eastAsia="Times New Roman" w:hAnsi="Times New Roman" w:cs="Times New Roman"/>
          <w:sz w:val="24"/>
          <w:szCs w:val="24"/>
        </w:rPr>
        <w:t xml:space="preserve">thereby </w:t>
      </w:r>
      <w:r>
        <w:rPr>
          <w:rFonts w:ascii="Times New Roman" w:eastAsia="Times New Roman" w:hAnsi="Times New Roman" w:cs="Times New Roman"/>
          <w:sz w:val="24"/>
          <w:szCs w:val="24"/>
        </w:rPr>
        <w:t xml:space="preserve">makes clear </w:t>
      </w:r>
      <w:r w:rsidR="007B697B">
        <w:rPr>
          <w:rFonts w:ascii="Times New Roman" w:eastAsia="Times New Roman" w:hAnsi="Times New Roman" w:cs="Times New Roman"/>
          <w:sz w:val="24"/>
          <w:szCs w:val="24"/>
        </w:rPr>
        <w:t xml:space="preserve">again </w:t>
      </w:r>
      <w:r>
        <w:rPr>
          <w:rFonts w:ascii="Times New Roman" w:eastAsia="Times New Roman" w:hAnsi="Times New Roman" w:cs="Times New Roman"/>
          <w:sz w:val="24"/>
          <w:szCs w:val="24"/>
        </w:rPr>
        <w:t xml:space="preserve">why philosophy of language matters, both philosophically and </w:t>
      </w:r>
      <w:r w:rsidR="00AB69A6">
        <w:rPr>
          <w:rFonts w:ascii="Times New Roman" w:eastAsia="Times New Roman" w:hAnsi="Times New Roman" w:cs="Times New Roman"/>
          <w:sz w:val="24"/>
          <w:szCs w:val="24"/>
        </w:rPr>
        <w:t>practically</w:t>
      </w:r>
      <w:r>
        <w:rPr>
          <w:rFonts w:ascii="Times New Roman" w:eastAsia="Times New Roman" w:hAnsi="Times New Roman" w:cs="Times New Roman"/>
          <w:sz w:val="24"/>
          <w:szCs w:val="24"/>
        </w:rPr>
        <w:t xml:space="preserve">, and why feminist interventions have been central to reconnecting the field with the </w:t>
      </w:r>
      <w:r w:rsidR="00945987">
        <w:rPr>
          <w:rFonts w:ascii="Times New Roman" w:eastAsia="Times New Roman" w:hAnsi="Times New Roman" w:cs="Times New Roman"/>
          <w:sz w:val="24"/>
          <w:szCs w:val="24"/>
        </w:rPr>
        <w:t xml:space="preserve">sort of </w:t>
      </w:r>
      <w:r>
        <w:rPr>
          <w:rFonts w:ascii="Times New Roman" w:eastAsia="Times New Roman" w:hAnsi="Times New Roman" w:cs="Times New Roman"/>
          <w:sz w:val="24"/>
          <w:szCs w:val="24"/>
        </w:rPr>
        <w:t>concerns that originally motivated it.</w:t>
      </w:r>
      <w:r w:rsidR="009F50DC">
        <w:rPr>
          <w:rFonts w:ascii="Times New Roman" w:eastAsia="Times New Roman" w:hAnsi="Times New Roman" w:cs="Times New Roman"/>
          <w:sz w:val="24"/>
          <w:szCs w:val="24"/>
        </w:rPr>
        <w:t xml:space="preserve"> </w:t>
      </w:r>
    </w:p>
    <w:p w14:paraId="7594367D" w14:textId="51203EB1" w:rsidR="00B936A4" w:rsidRDefault="00B936A4" w:rsidP="00B936A4">
      <w:pPr>
        <w:spacing w:before="240" w:after="240"/>
        <w:ind w:firstLine="720"/>
        <w:rPr>
          <w:rFonts w:ascii="Times New Roman" w:eastAsia="Times New Roman" w:hAnsi="Times New Roman" w:cs="Times New Roman"/>
          <w:sz w:val="24"/>
          <w:szCs w:val="24"/>
        </w:rPr>
      </w:pPr>
      <w:r w:rsidRPr="00B936A4">
        <w:rPr>
          <w:rFonts w:ascii="Times New Roman" w:eastAsia="Times New Roman" w:hAnsi="Times New Roman" w:cs="Times New Roman"/>
          <w:sz w:val="24"/>
          <w:szCs w:val="24"/>
        </w:rPr>
        <w:t xml:space="preserve">The chapters include a host of topics that are of direct interest to </w:t>
      </w:r>
      <w:proofErr w:type="spellStart"/>
      <w:r w:rsidRPr="00B936A4">
        <w:rPr>
          <w:rFonts w:ascii="Times New Roman" w:eastAsia="Times New Roman" w:hAnsi="Times New Roman" w:cs="Times New Roman"/>
          <w:sz w:val="24"/>
          <w:szCs w:val="24"/>
        </w:rPr>
        <w:t>pragmaticians</w:t>
      </w:r>
      <w:proofErr w:type="spellEnd"/>
      <w:r w:rsidRPr="00B936A4">
        <w:rPr>
          <w:rFonts w:ascii="Times New Roman" w:eastAsia="Times New Roman" w:hAnsi="Times New Roman" w:cs="Times New Roman"/>
          <w:sz w:val="24"/>
          <w:szCs w:val="24"/>
        </w:rPr>
        <w:t xml:space="preserve">, including lying and deception (Chapter 1), silencing (Chapter 3), jokes (Chapter 4), slurs (Chapter 5), linguistic oppression (Chapter 7), promises (Chapter 9), and gender and language (Chapter 10). Not only do the authors address these topics, but they also bring to bear significant works from recent philosophy of language, making the text an essential resource for a </w:t>
      </w:r>
      <w:proofErr w:type="spellStart"/>
      <w:r w:rsidRPr="00B936A4">
        <w:rPr>
          <w:rFonts w:ascii="Times New Roman" w:eastAsia="Times New Roman" w:hAnsi="Times New Roman" w:cs="Times New Roman"/>
          <w:sz w:val="24"/>
          <w:szCs w:val="24"/>
        </w:rPr>
        <w:t>pragmatician</w:t>
      </w:r>
      <w:proofErr w:type="spellEnd"/>
      <w:r w:rsidRPr="00B936A4">
        <w:rPr>
          <w:rFonts w:ascii="Times New Roman" w:eastAsia="Times New Roman" w:hAnsi="Times New Roman" w:cs="Times New Roman"/>
          <w:sz w:val="24"/>
          <w:szCs w:val="24"/>
        </w:rPr>
        <w:t xml:space="preserve"> who seeks to learn about these phenomena through that lens. By situating communicative breakdowns at the intersection of language and power, the book offers a distinctively pragmatic analysis of how social identity shapes who can successfully perform speech acts </w:t>
      </w:r>
      <w:r>
        <w:rPr>
          <w:rFonts w:ascii="Times New Roman" w:eastAsia="Times New Roman" w:hAnsi="Times New Roman" w:cs="Times New Roman"/>
          <w:sz w:val="24"/>
          <w:szCs w:val="24"/>
        </w:rPr>
        <w:t>such as</w:t>
      </w:r>
      <w:r w:rsidRPr="00B936A4">
        <w:rPr>
          <w:rFonts w:ascii="Times New Roman" w:eastAsia="Times New Roman" w:hAnsi="Times New Roman" w:cs="Times New Roman"/>
          <w:sz w:val="24"/>
          <w:szCs w:val="24"/>
        </w:rPr>
        <w:t xml:space="preserve"> refusing, testifying, or ordering.</w:t>
      </w:r>
    </w:p>
    <w:p w14:paraId="00000003" w14:textId="69974F71" w:rsidR="00A102F7" w:rsidRDefault="009F50DC">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We recommend the book in the strongest terms</w:t>
      </w:r>
      <w:r w:rsidR="00F534F6">
        <w:rPr>
          <w:rFonts w:ascii="Times New Roman" w:eastAsia="Times New Roman" w:hAnsi="Times New Roman" w:cs="Times New Roman"/>
          <w:sz w:val="24"/>
          <w:szCs w:val="24"/>
        </w:rPr>
        <w:t>: it’s bound to be a terrific resource for teachers and for their students at various levels</w:t>
      </w:r>
      <w:r>
        <w:rPr>
          <w:rFonts w:ascii="Times New Roman" w:eastAsia="Times New Roman" w:hAnsi="Times New Roman" w:cs="Times New Roman"/>
          <w:sz w:val="24"/>
          <w:szCs w:val="24"/>
        </w:rPr>
        <w:t>.</w:t>
      </w:r>
    </w:p>
    <w:p w14:paraId="00000004" w14:textId="63F2C62C" w:rsidR="00A102F7" w:rsidRDefault="00F534F6">
      <w:pPr>
        <w:spacing w:before="240" w:after="240"/>
        <w:ind w:firstLine="720"/>
      </w:pPr>
      <w:r>
        <w:rPr>
          <w:rFonts w:ascii="Times New Roman" w:eastAsia="Times New Roman" w:hAnsi="Times New Roman" w:cs="Times New Roman"/>
          <w:i/>
          <w:iCs/>
          <w:sz w:val="24"/>
          <w:szCs w:val="24"/>
        </w:rPr>
        <w:lastRenderedPageBreak/>
        <w:t>Words in Action</w:t>
      </w:r>
      <w:r>
        <w:rPr>
          <w:rFonts w:ascii="Times New Roman" w:eastAsia="Times New Roman" w:hAnsi="Times New Roman" w:cs="Times New Roman"/>
          <w:sz w:val="24"/>
          <w:szCs w:val="24"/>
        </w:rPr>
        <w:t xml:space="preserve"> presents itself as a textbook organized around phenomena rather than a single argumentative through-line. Each chapter stands on its own, focusing on a familiar sociolinguistic act such as promising, joking, lying, or the various forms of silencing, and treating </w:t>
      </w:r>
      <w:r w:rsidR="00FE455B">
        <w:rPr>
          <w:rFonts w:ascii="Times New Roman" w:eastAsia="Times New Roman" w:hAnsi="Times New Roman" w:cs="Times New Roman"/>
          <w:sz w:val="24"/>
          <w:szCs w:val="24"/>
        </w:rPr>
        <w:t>each</w:t>
      </w:r>
      <w:r>
        <w:rPr>
          <w:rFonts w:ascii="Times New Roman" w:eastAsia="Times New Roman" w:hAnsi="Times New Roman" w:cs="Times New Roman"/>
          <w:sz w:val="24"/>
          <w:szCs w:val="24"/>
        </w:rPr>
        <w:t xml:space="preserve"> as an occasion to introduce core ideas </w:t>
      </w:r>
      <w:r w:rsidR="007B697B">
        <w:rPr>
          <w:rFonts w:ascii="Times New Roman" w:eastAsia="Times New Roman" w:hAnsi="Times New Roman" w:cs="Times New Roman"/>
          <w:sz w:val="24"/>
          <w:szCs w:val="24"/>
        </w:rPr>
        <w:t>born in</w:t>
      </w:r>
      <w:r>
        <w:rPr>
          <w:rFonts w:ascii="Times New Roman" w:eastAsia="Times New Roman" w:hAnsi="Times New Roman" w:cs="Times New Roman"/>
          <w:sz w:val="24"/>
          <w:szCs w:val="24"/>
        </w:rPr>
        <w:t xml:space="preserve"> </w:t>
      </w:r>
      <w:r w:rsidR="007B697B">
        <w:rPr>
          <w:rFonts w:ascii="Times New Roman" w:eastAsia="Times New Roman" w:hAnsi="Times New Roman" w:cs="Times New Roman"/>
          <w:sz w:val="24"/>
          <w:szCs w:val="24"/>
        </w:rPr>
        <w:t>20</w:t>
      </w:r>
      <w:r w:rsidR="007B697B" w:rsidRPr="007B697B">
        <w:rPr>
          <w:rFonts w:ascii="Times New Roman" w:eastAsia="Times New Roman" w:hAnsi="Times New Roman" w:cs="Times New Roman"/>
          <w:sz w:val="24"/>
          <w:szCs w:val="24"/>
          <w:vertAlign w:val="superscript"/>
        </w:rPr>
        <w:t>th</w:t>
      </w:r>
      <w:r w:rsidR="007B697B">
        <w:rPr>
          <w:rFonts w:ascii="Times New Roman" w:eastAsia="Times New Roman" w:hAnsi="Times New Roman" w:cs="Times New Roman"/>
          <w:sz w:val="24"/>
          <w:szCs w:val="24"/>
        </w:rPr>
        <w:t xml:space="preserve"> Century </w:t>
      </w:r>
      <w:r>
        <w:rPr>
          <w:rFonts w:ascii="Times New Roman" w:eastAsia="Times New Roman" w:hAnsi="Times New Roman" w:cs="Times New Roman"/>
          <w:sz w:val="24"/>
          <w:szCs w:val="24"/>
        </w:rPr>
        <w:t>philosophy of language. The chapters do not build on one another in a cumulative way, and this seems intentional: most end in conceptual stopping-points rather than foreshadowing the next chapter. As a result of this structure, the book lends itself to modular teaching. Instructors can rearrange chapters to suit a course’s conceptual trajectory without worrying about breaking an implicit narrative, and the authors seem to have written with this kind of flexibility in mind.</w:t>
      </w:r>
      <w:r>
        <w:t xml:space="preserve"> </w:t>
      </w:r>
    </w:p>
    <w:p w14:paraId="00000005" w14:textId="5404F835" w:rsidR="00A102F7" w:rsidRDefault="00F534F6">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internal design of each chapter follows a recurring pattern that students can quickly adopt as a navigational tool. The authors begin with a short set of guiding questions that frame the central philosophical </w:t>
      </w:r>
      <w:r w:rsidR="007E6346">
        <w:rPr>
          <w:rFonts w:ascii="Times New Roman" w:eastAsia="Times New Roman" w:hAnsi="Times New Roman" w:cs="Times New Roman"/>
          <w:sz w:val="24"/>
          <w:szCs w:val="24"/>
        </w:rPr>
        <w:t>concerns</w:t>
      </w:r>
      <w:r>
        <w:rPr>
          <w:rFonts w:ascii="Times New Roman" w:eastAsia="Times New Roman" w:hAnsi="Times New Roman" w:cs="Times New Roman"/>
          <w:sz w:val="24"/>
          <w:szCs w:val="24"/>
        </w:rPr>
        <w:t xml:space="preserve">, then survey major analyses drawing from </w:t>
      </w:r>
      <w:r w:rsidR="00966BA0">
        <w:rPr>
          <w:rFonts w:ascii="Times New Roman" w:eastAsia="Times New Roman" w:hAnsi="Times New Roman" w:cs="Times New Roman"/>
          <w:sz w:val="24"/>
          <w:szCs w:val="24"/>
        </w:rPr>
        <w:t>“</w:t>
      </w:r>
      <w:r>
        <w:rPr>
          <w:rFonts w:ascii="Times New Roman" w:eastAsia="Times New Roman" w:hAnsi="Times New Roman" w:cs="Times New Roman"/>
          <w:sz w:val="24"/>
          <w:szCs w:val="24"/>
        </w:rPr>
        <w:t>classical</w:t>
      </w:r>
      <w:r w:rsidR="00966BA0">
        <w:rPr>
          <w:rFonts w:ascii="Times New Roman" w:eastAsia="Times New Roman" w:hAnsi="Times New Roman" w:cs="Times New Roman"/>
          <w:sz w:val="24"/>
          <w:szCs w:val="24"/>
        </w:rPr>
        <w:t>” (i.e., mostly 20</w:t>
      </w:r>
      <w:r w:rsidR="00966BA0" w:rsidRPr="00966BA0">
        <w:rPr>
          <w:rFonts w:ascii="Times New Roman" w:eastAsia="Times New Roman" w:hAnsi="Times New Roman" w:cs="Times New Roman"/>
          <w:sz w:val="24"/>
          <w:szCs w:val="24"/>
          <w:vertAlign w:val="superscript"/>
        </w:rPr>
        <w:t>th</w:t>
      </w:r>
      <w:r w:rsidR="00966BA0">
        <w:rPr>
          <w:rFonts w:ascii="Times New Roman" w:eastAsia="Times New Roman" w:hAnsi="Times New Roman" w:cs="Times New Roman"/>
          <w:sz w:val="24"/>
          <w:szCs w:val="24"/>
        </w:rPr>
        <w:t xml:space="preserve"> Century)</w:t>
      </w:r>
      <w:r>
        <w:rPr>
          <w:rFonts w:ascii="Times New Roman" w:eastAsia="Times New Roman" w:hAnsi="Times New Roman" w:cs="Times New Roman"/>
          <w:sz w:val="24"/>
          <w:szCs w:val="24"/>
        </w:rPr>
        <w:t xml:space="preserve"> sources as well as </w:t>
      </w:r>
      <w:r w:rsidR="00945987">
        <w:rPr>
          <w:rFonts w:ascii="Times New Roman" w:eastAsia="Times New Roman" w:hAnsi="Times New Roman" w:cs="Times New Roman"/>
          <w:sz w:val="24"/>
          <w:szCs w:val="24"/>
        </w:rPr>
        <w:t>more recent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work, and</w:t>
      </w:r>
      <w:proofErr w:type="gramEnd"/>
      <w:r>
        <w:rPr>
          <w:rFonts w:ascii="Times New Roman" w:eastAsia="Times New Roman" w:hAnsi="Times New Roman" w:cs="Times New Roman"/>
          <w:sz w:val="24"/>
          <w:szCs w:val="24"/>
        </w:rPr>
        <w:t xml:space="preserve"> pausing for one or more “Tools” boxes that introduce foundational </w:t>
      </w:r>
      <w:r w:rsidR="00945987">
        <w:rPr>
          <w:rFonts w:ascii="Times New Roman" w:eastAsia="Times New Roman" w:hAnsi="Times New Roman" w:cs="Times New Roman"/>
          <w:sz w:val="24"/>
          <w:szCs w:val="24"/>
        </w:rPr>
        <w:t>concepts/</w:t>
      </w:r>
      <w:r>
        <w:rPr>
          <w:rFonts w:ascii="Times New Roman" w:eastAsia="Times New Roman" w:hAnsi="Times New Roman" w:cs="Times New Roman"/>
          <w:sz w:val="24"/>
          <w:szCs w:val="24"/>
        </w:rPr>
        <w:t xml:space="preserve">distinctions such as </w:t>
      </w:r>
      <w:r>
        <w:rPr>
          <w:rFonts w:ascii="Times New Roman" w:eastAsia="Times New Roman" w:hAnsi="Times New Roman" w:cs="Times New Roman"/>
          <w:i/>
          <w:iCs/>
          <w:sz w:val="24"/>
          <w:szCs w:val="24"/>
        </w:rPr>
        <w:t xml:space="preserve">use </w:t>
      </w:r>
      <w:r w:rsidRPr="007B697B">
        <w:rPr>
          <w:rFonts w:ascii="Times New Roman" w:eastAsia="Times New Roman" w:hAnsi="Times New Roman" w:cs="Times New Roman"/>
          <w:i/>
          <w:iCs/>
          <w:sz w:val="24"/>
          <w:szCs w:val="24"/>
        </w:rPr>
        <w:t>versus</w:t>
      </w:r>
      <w:r>
        <w:rPr>
          <w:rFonts w:ascii="Times New Roman" w:eastAsia="Times New Roman" w:hAnsi="Times New Roman" w:cs="Times New Roman"/>
          <w:i/>
          <w:iCs/>
          <w:sz w:val="24"/>
          <w:szCs w:val="24"/>
        </w:rPr>
        <w:t xml:space="preserve"> mention</w:t>
      </w:r>
      <w:r>
        <w:rPr>
          <w:rFonts w:ascii="Times New Roman" w:eastAsia="Times New Roman" w:hAnsi="Times New Roman" w:cs="Times New Roman"/>
          <w:sz w:val="24"/>
          <w:szCs w:val="24"/>
        </w:rPr>
        <w:t xml:space="preserve"> or </w:t>
      </w:r>
      <w:r>
        <w:rPr>
          <w:rFonts w:ascii="Times New Roman" w:eastAsia="Times New Roman" w:hAnsi="Times New Roman" w:cs="Times New Roman"/>
          <w:i/>
          <w:iCs/>
          <w:sz w:val="24"/>
          <w:szCs w:val="24"/>
        </w:rPr>
        <w:t>implicature</w:t>
      </w:r>
      <w:r>
        <w:rPr>
          <w:rFonts w:ascii="Times New Roman" w:eastAsia="Times New Roman" w:hAnsi="Times New Roman" w:cs="Times New Roman"/>
          <w:sz w:val="24"/>
          <w:szCs w:val="24"/>
        </w:rPr>
        <w:t xml:space="preserve">. From there, chapters develop taxonomies of sub-kinds and conclude with further readings and discussion questions. The consistency of this pattern helps students anticipate the rhythm of argumentation, while giving instructors clear entry points for classroom discussion or assessments. The end-glossary and index extend this usability, allowing the book to double as </w:t>
      </w:r>
      <w:proofErr w:type="gramStart"/>
      <w:r>
        <w:rPr>
          <w:rFonts w:ascii="Times New Roman" w:eastAsia="Times New Roman" w:hAnsi="Times New Roman" w:cs="Times New Roman"/>
          <w:sz w:val="24"/>
          <w:szCs w:val="24"/>
        </w:rPr>
        <w:t>a compact</w:t>
      </w:r>
      <w:proofErr w:type="gramEnd"/>
      <w:r>
        <w:rPr>
          <w:rFonts w:ascii="Times New Roman" w:eastAsia="Times New Roman" w:hAnsi="Times New Roman" w:cs="Times New Roman"/>
          <w:sz w:val="24"/>
          <w:szCs w:val="24"/>
        </w:rPr>
        <w:t xml:space="preserve"> reference work.</w:t>
      </w:r>
    </w:p>
    <w:p w14:paraId="2BF0D062" w14:textId="77777777" w:rsidR="00D16D40" w:rsidRDefault="00F534F6" w:rsidP="00D16D4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writing itself is clear, careful, and accessible to readers who may not have prior training in philosophy of language. Concepts are introduced gradually, with enough precision to avoid misrepresentation but with a commitment to readability that makes the text suitable for upper-level undergraduates. Many chapters, especially those introducing canonical debates, could even serve as brief primers in graduate seminars. </w:t>
      </w:r>
      <w:r w:rsidR="007B697B">
        <w:rPr>
          <w:rFonts w:ascii="Times New Roman" w:eastAsia="Times New Roman" w:hAnsi="Times New Roman" w:cs="Times New Roman"/>
          <w:sz w:val="24"/>
          <w:szCs w:val="24"/>
        </w:rPr>
        <w:t>The text is packed with</w:t>
      </w:r>
      <w:r>
        <w:rPr>
          <w:rFonts w:ascii="Times New Roman" w:eastAsia="Times New Roman" w:hAnsi="Times New Roman" w:cs="Times New Roman"/>
          <w:sz w:val="24"/>
          <w:szCs w:val="24"/>
        </w:rPr>
        <w:t xml:space="preserve"> everyday examples, so theoretical claims never feel detached from ordinary linguistic practice. The authors also have an eye for illustrative detail. They use sharp, occasionally humorous scenarios to bring abstract </w:t>
      </w:r>
      <w:r w:rsidR="00945987">
        <w:rPr>
          <w:rFonts w:ascii="Times New Roman" w:eastAsia="Times New Roman" w:hAnsi="Times New Roman" w:cs="Times New Roman"/>
          <w:sz w:val="24"/>
          <w:szCs w:val="24"/>
        </w:rPr>
        <w:t>notions</w:t>
      </w:r>
      <w:r>
        <w:rPr>
          <w:rFonts w:ascii="Times New Roman" w:eastAsia="Times New Roman" w:hAnsi="Times New Roman" w:cs="Times New Roman"/>
          <w:sz w:val="24"/>
          <w:szCs w:val="24"/>
        </w:rPr>
        <w:t xml:space="preserve"> to life, and these examples recur just enough to help students consolidate intuitions across chapters. </w:t>
      </w:r>
    </w:p>
    <w:p w14:paraId="00000006" w14:textId="6E866CA7" w:rsidR="00A102F7" w:rsidRDefault="00D16D40" w:rsidP="00D16D4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virtue lies in how the book handles repetition. Each chapter includes reminders and short recaps of earlier points, which work well on the page as reinforcement. Instructors may choose to compress or skip these in lecture, but as written aids they keep students anchored. </w:t>
      </w:r>
    </w:p>
    <w:p w14:paraId="5689B80E" w14:textId="68378479" w:rsidR="00D16D40" w:rsidRDefault="00D16D40" w:rsidP="00D16D40">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book’s strengths include not just its instructional design but also its philosophical </w:t>
      </w:r>
      <w:r w:rsidR="00450BE9" w:rsidRPr="00B936A4">
        <w:rPr>
          <w:rFonts w:ascii="Times New Roman" w:eastAsia="Times New Roman" w:hAnsi="Times New Roman" w:cs="Times New Roman"/>
          <w:sz w:val="24"/>
          <w:szCs w:val="24"/>
        </w:rPr>
        <w:t xml:space="preserve">and pragmatic </w:t>
      </w:r>
      <w:r>
        <w:rPr>
          <w:rFonts w:ascii="Times New Roman" w:eastAsia="Times New Roman" w:hAnsi="Times New Roman" w:cs="Times New Roman"/>
          <w:sz w:val="24"/>
          <w:szCs w:val="24"/>
        </w:rPr>
        <w:t xml:space="preserve">contributions. It invites several productive lines of discussion. One is its treatment of silencing (Chapter 3). Here the authors trace how communicative breakdown can arise not only from what is said but also from the broader social conditions that shape who can speak (98–99), who is heard (103), and what counts as uptake (90–91). By </w:t>
      </w:r>
      <w:proofErr w:type="gramStart"/>
      <w:r>
        <w:rPr>
          <w:rFonts w:ascii="Times New Roman" w:eastAsia="Times New Roman" w:hAnsi="Times New Roman" w:cs="Times New Roman"/>
          <w:sz w:val="24"/>
          <w:szCs w:val="24"/>
        </w:rPr>
        <w:t>situating</w:t>
      </w:r>
      <w:proofErr w:type="gramEnd"/>
      <w:r>
        <w:rPr>
          <w:rFonts w:ascii="Times New Roman" w:eastAsia="Times New Roman" w:hAnsi="Times New Roman" w:cs="Times New Roman"/>
          <w:sz w:val="24"/>
          <w:szCs w:val="24"/>
        </w:rPr>
        <w:t xml:space="preserve"> these issues at multiple levels, the book gives students a wider view of how language interacts with institutional and </w:t>
      </w:r>
      <w:r>
        <w:rPr>
          <w:rFonts w:ascii="Times New Roman" w:eastAsia="Times New Roman" w:hAnsi="Times New Roman" w:cs="Times New Roman"/>
          <w:sz w:val="24"/>
          <w:szCs w:val="24"/>
        </w:rPr>
        <w:lastRenderedPageBreak/>
        <w:t xml:space="preserve">interpersonal power. A second contribution concerns the distinction between two different kinds of “badness” that recur across the material: bad things done </w:t>
      </w:r>
      <w:r>
        <w:rPr>
          <w:rFonts w:ascii="Times New Roman" w:eastAsia="Times New Roman" w:hAnsi="Times New Roman" w:cs="Times New Roman"/>
          <w:i/>
          <w:iCs/>
          <w:sz w:val="24"/>
          <w:szCs w:val="24"/>
        </w:rPr>
        <w:t>with</w:t>
      </w:r>
      <w:r>
        <w:rPr>
          <w:rFonts w:ascii="Times New Roman" w:eastAsia="Times New Roman" w:hAnsi="Times New Roman" w:cs="Times New Roman"/>
          <w:sz w:val="24"/>
          <w:szCs w:val="24"/>
        </w:rPr>
        <w:t xml:space="preserve"> language, and bad features </w:t>
      </w:r>
      <w:r>
        <w:rPr>
          <w:rFonts w:ascii="Times New Roman" w:eastAsia="Times New Roman" w:hAnsi="Times New Roman" w:cs="Times New Roman"/>
          <w:i/>
          <w:iCs/>
          <w:sz w:val="24"/>
          <w:szCs w:val="24"/>
        </w:rPr>
        <w:t>of</w:t>
      </w:r>
      <w:r>
        <w:rPr>
          <w:rFonts w:ascii="Times New Roman" w:eastAsia="Times New Roman" w:hAnsi="Times New Roman" w:cs="Times New Roman"/>
          <w:sz w:val="24"/>
          <w:szCs w:val="24"/>
        </w:rPr>
        <w:t xml:space="preserve"> a language. Lying</w:t>
      </w:r>
      <w:r w:rsidR="00684CC9">
        <w:rPr>
          <w:rFonts w:ascii="Times New Roman" w:eastAsia="Times New Roman" w:hAnsi="Times New Roman" w:cs="Times New Roman"/>
          <w:sz w:val="24"/>
          <w:szCs w:val="24"/>
        </w:rPr>
        <w:t xml:space="preserve"> </w:t>
      </w:r>
      <w:r w:rsidR="00684CC9" w:rsidRPr="00B936A4">
        <w:rPr>
          <w:rFonts w:ascii="Times New Roman" w:eastAsia="Times New Roman" w:hAnsi="Times New Roman" w:cs="Times New Roman"/>
          <w:sz w:val="24"/>
          <w:szCs w:val="24"/>
        </w:rPr>
        <w:t>(Chapter 1)</w:t>
      </w:r>
      <w:r w:rsidRPr="00B936A4">
        <w:rPr>
          <w:rFonts w:ascii="Times New Roman" w:eastAsia="Times New Roman" w:hAnsi="Times New Roman" w:cs="Times New Roman"/>
          <w:sz w:val="24"/>
          <w:szCs w:val="24"/>
        </w:rPr>
        <w:t>,</w:t>
      </w:r>
      <w:r w:rsidRPr="00D8084F">
        <w:rPr>
          <w:rFonts w:ascii="Times New Roman" w:eastAsia="Times New Roman" w:hAnsi="Times New Roman" w:cs="Times New Roman"/>
          <w:color w:val="EE0000"/>
          <w:sz w:val="24"/>
          <w:szCs w:val="24"/>
        </w:rPr>
        <w:t xml:space="preserve"> </w:t>
      </w:r>
      <w:r>
        <w:rPr>
          <w:rFonts w:ascii="Times New Roman" w:eastAsia="Times New Roman" w:hAnsi="Times New Roman" w:cs="Times New Roman"/>
          <w:sz w:val="24"/>
          <w:szCs w:val="24"/>
        </w:rPr>
        <w:t xml:space="preserve">for example, is a wrongful act performed by speakers using linguistic resources. It is not an inherent property of a language itself: there is no sense in which English or Urdu, as a system, are “lying languages.” By contrast, some morally salient features are built into linguistic </w:t>
      </w:r>
      <w:proofErr w:type="gramStart"/>
      <w:r>
        <w:rPr>
          <w:rFonts w:ascii="Times New Roman" w:eastAsia="Times New Roman" w:hAnsi="Times New Roman" w:cs="Times New Roman"/>
          <w:sz w:val="24"/>
          <w:szCs w:val="24"/>
        </w:rPr>
        <w:t>structure</w:t>
      </w:r>
      <w:proofErr w:type="gramEnd"/>
      <w:r>
        <w:rPr>
          <w:rFonts w:ascii="Times New Roman" w:eastAsia="Times New Roman" w:hAnsi="Times New Roman" w:cs="Times New Roman"/>
          <w:sz w:val="24"/>
          <w:szCs w:val="24"/>
        </w:rPr>
        <w:t xml:space="preserve">. An example of the latter </w:t>
      </w:r>
      <w:r w:rsidR="00BF3178">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grammatical gender systems, found in lots of Romance languages, such that when referring to multiple individuals with even just one male present in the group, the default is the male-marked gender. Thus, for instance, a group composed of 999 women and one man will be called ‘</w:t>
      </w:r>
      <w:proofErr w:type="spellStart"/>
      <w:r>
        <w:rPr>
          <w:rFonts w:ascii="Times New Roman" w:eastAsia="Times New Roman" w:hAnsi="Times New Roman" w:cs="Times New Roman"/>
          <w:sz w:val="24"/>
          <w:szCs w:val="24"/>
        </w:rPr>
        <w:t>ellos</w:t>
      </w:r>
      <w:proofErr w:type="spellEnd"/>
      <w:r>
        <w:rPr>
          <w:rFonts w:ascii="Times New Roman" w:eastAsia="Times New Roman" w:hAnsi="Times New Roman" w:cs="Times New Roman"/>
          <w:sz w:val="24"/>
          <w:szCs w:val="24"/>
        </w:rPr>
        <w:t>’ in Spanish and ‘</w:t>
      </w:r>
      <w:proofErr w:type="spellStart"/>
      <w:r>
        <w:rPr>
          <w:rFonts w:ascii="Times New Roman" w:eastAsia="Times New Roman" w:hAnsi="Times New Roman" w:cs="Times New Roman"/>
          <w:sz w:val="24"/>
          <w:szCs w:val="24"/>
        </w:rPr>
        <w:t>ils</w:t>
      </w:r>
      <w:proofErr w:type="spellEnd"/>
      <w:r>
        <w:rPr>
          <w:rFonts w:ascii="Times New Roman" w:eastAsia="Times New Roman" w:hAnsi="Times New Roman" w:cs="Times New Roman"/>
          <w:sz w:val="24"/>
          <w:szCs w:val="24"/>
        </w:rPr>
        <w:t>’ in French, i.e., ‘they’-</w:t>
      </w:r>
      <w:r w:rsidRPr="00825862">
        <w:rPr>
          <w:rFonts w:ascii="Times New Roman" w:eastAsia="Times New Roman" w:hAnsi="Times New Roman" w:cs="Times New Roman"/>
          <w:i/>
          <w:iCs/>
          <w:sz w:val="24"/>
          <w:szCs w:val="24"/>
        </w:rPr>
        <w:t>plural-male</w:t>
      </w:r>
      <w:r>
        <w:rPr>
          <w:rFonts w:ascii="Times New Roman" w:eastAsia="Times New Roman" w:hAnsi="Times New Roman" w:cs="Times New Roman"/>
          <w:sz w:val="24"/>
          <w:szCs w:val="24"/>
        </w:rPr>
        <w:t xml:space="preserve">. Such things are not the product of individual misuse, but of conventionalized distinctions built into the very language itself, that shape how reference is made and interpreted within social contexts. A similar case arises in varieties of Kannada, including Dakshina Havyaka Kannada – a Dravidian language spoken primarily in the Indian state of Karnataka, and the native tongue of this review’s first author – where third-person reference is organized around a male versus non-male distinction, with women grouping grammatically with </w:t>
      </w:r>
      <w:proofErr w:type="spellStart"/>
      <w:r>
        <w:rPr>
          <w:rFonts w:ascii="Times New Roman" w:eastAsia="Times New Roman" w:hAnsi="Times New Roman" w:cs="Times New Roman"/>
          <w:sz w:val="24"/>
          <w:szCs w:val="24"/>
        </w:rPr>
        <w:t>inanimates</w:t>
      </w:r>
      <w:proofErr w:type="spellEnd"/>
      <w:r>
        <w:rPr>
          <w:rFonts w:ascii="Times New Roman" w:eastAsia="Times New Roman" w:hAnsi="Times New Roman" w:cs="Times New Roman"/>
          <w:sz w:val="24"/>
          <w:szCs w:val="24"/>
        </w:rPr>
        <w:t xml:space="preserve"> and other non-male categories. Furthermore, particularly in Dakshina Havyaka Kannada, mothers receive second-person singular address and neuter gender reference, while fathers receive an honorific inflection that is syncretic with plural second-person address and plural third-person reference. Here again, the potential for linguistic harm does not stem merely from isolated speech acts but from the normative structure of the language itself, which can license asymmetries in reference independently of speaker intention. Drawing this distinction clarifies how responsibility and critique shift depending on whether harm arises merely from what specific speakers </w:t>
      </w:r>
      <w:r>
        <w:rPr>
          <w:rFonts w:ascii="Times New Roman" w:eastAsia="Times New Roman" w:hAnsi="Times New Roman" w:cs="Times New Roman"/>
          <w:i/>
          <w:iCs/>
          <w:sz w:val="24"/>
          <w:szCs w:val="24"/>
        </w:rPr>
        <w:t xml:space="preserve">do </w:t>
      </w:r>
      <w:r>
        <w:rPr>
          <w:rFonts w:ascii="Times New Roman" w:eastAsia="Times New Roman" w:hAnsi="Times New Roman" w:cs="Times New Roman"/>
          <w:sz w:val="24"/>
          <w:szCs w:val="24"/>
        </w:rPr>
        <w:t xml:space="preserve">with language or from the conventions that govern how a language </w:t>
      </w:r>
      <w:r w:rsidRPr="00D16D40">
        <w:rPr>
          <w:rFonts w:ascii="Times New Roman" w:eastAsia="Times New Roman" w:hAnsi="Times New Roman" w:cs="Times New Roman"/>
          <w:i/>
          <w:iCs/>
          <w:sz w:val="24"/>
          <w:szCs w:val="24"/>
        </w:rPr>
        <w:t>encodes</w:t>
      </w:r>
      <w:r>
        <w:rPr>
          <w:rFonts w:ascii="Times New Roman" w:eastAsia="Times New Roman" w:hAnsi="Times New Roman" w:cs="Times New Roman"/>
          <w:sz w:val="24"/>
          <w:szCs w:val="24"/>
        </w:rPr>
        <w:t xml:space="preserve"> social categories in the first place. The text gives instructors room to clarify where these come apart and why their mechanisms may differ. A third productive line of discussion arises in the </w:t>
      </w:r>
      <w:r w:rsidR="00B936A4">
        <w:rPr>
          <w:rFonts w:ascii="Times New Roman" w:eastAsia="Times New Roman" w:hAnsi="Times New Roman" w:cs="Times New Roman"/>
          <w:sz w:val="24"/>
          <w:szCs w:val="24"/>
        </w:rPr>
        <w:t>segment</w:t>
      </w:r>
      <w:r>
        <w:rPr>
          <w:rFonts w:ascii="Times New Roman" w:eastAsia="Times New Roman" w:hAnsi="Times New Roman" w:cs="Times New Roman"/>
          <w:sz w:val="24"/>
          <w:szCs w:val="24"/>
        </w:rPr>
        <w:t xml:space="preserve"> on slurs </w:t>
      </w:r>
      <w:r w:rsidR="00684CC9" w:rsidRPr="00B936A4">
        <w:rPr>
          <w:rFonts w:ascii="Times New Roman" w:eastAsia="Times New Roman" w:hAnsi="Times New Roman" w:cs="Times New Roman"/>
          <w:sz w:val="24"/>
          <w:szCs w:val="24"/>
        </w:rPr>
        <w:t xml:space="preserve">(Chapter 5) </w:t>
      </w:r>
      <w:r>
        <w:rPr>
          <w:rFonts w:ascii="Times New Roman" w:eastAsia="Times New Roman" w:hAnsi="Times New Roman" w:cs="Times New Roman"/>
          <w:sz w:val="24"/>
          <w:szCs w:val="24"/>
        </w:rPr>
        <w:t xml:space="preserve">– another case of bad </w:t>
      </w:r>
      <w:r w:rsidR="003F63BC">
        <w:rPr>
          <w:rFonts w:ascii="Times New Roman" w:eastAsia="Times New Roman" w:hAnsi="Times New Roman" w:cs="Times New Roman"/>
          <w:sz w:val="24"/>
          <w:szCs w:val="24"/>
        </w:rPr>
        <w:t>linguistic items</w:t>
      </w:r>
      <w:proofErr w:type="gramStart"/>
      <w:r>
        <w:rPr>
          <w:rFonts w:ascii="Times New Roman" w:eastAsia="Times New Roman" w:hAnsi="Times New Roman" w:cs="Times New Roman"/>
          <w:sz w:val="24"/>
          <w:szCs w:val="24"/>
        </w:rPr>
        <w:t>, by the way, not</w:t>
      </w:r>
      <w:proofErr w:type="gramEnd"/>
      <w:r>
        <w:rPr>
          <w:rFonts w:ascii="Times New Roman" w:eastAsia="Times New Roman" w:hAnsi="Times New Roman" w:cs="Times New Roman"/>
          <w:sz w:val="24"/>
          <w:szCs w:val="24"/>
        </w:rPr>
        <w:t xml:space="preserve"> just bad talk – where the analysis could be sharpened by explicitly distinguishing a slur’s intended function (what the type is </w:t>
      </w:r>
      <w:r w:rsidRPr="00346CE6">
        <w:rPr>
          <w:rFonts w:ascii="Times New Roman" w:eastAsia="Times New Roman" w:hAnsi="Times New Roman" w:cs="Times New Roman"/>
          <w:i/>
          <w:iCs/>
          <w:sz w:val="24"/>
          <w:szCs w:val="24"/>
        </w:rPr>
        <w:t>to be used for</w:t>
      </w:r>
      <w:r>
        <w:rPr>
          <w:rFonts w:ascii="Times New Roman" w:eastAsia="Times New Roman" w:hAnsi="Times New Roman" w:cs="Times New Roman"/>
          <w:sz w:val="24"/>
          <w:szCs w:val="24"/>
        </w:rPr>
        <w:t xml:space="preserve">) from how particular tokens are </w:t>
      </w:r>
      <w:proofErr w:type="gramStart"/>
      <w:r>
        <w:rPr>
          <w:rFonts w:ascii="Times New Roman" w:eastAsia="Times New Roman" w:hAnsi="Times New Roman" w:cs="Times New Roman"/>
          <w:sz w:val="24"/>
          <w:szCs w:val="24"/>
        </w:rPr>
        <w:t>actually deployed</w:t>
      </w:r>
      <w:proofErr w:type="gramEnd"/>
      <w:r>
        <w:rPr>
          <w:rFonts w:ascii="Times New Roman" w:eastAsia="Times New Roman" w:hAnsi="Times New Roman" w:cs="Times New Roman"/>
          <w:sz w:val="24"/>
          <w:szCs w:val="24"/>
        </w:rPr>
        <w:t xml:space="preserve">. Drawing attention to this ambiguity – “is used” as describing type-level linguistic function versus mere </w:t>
      </w:r>
      <w:r w:rsidR="003F63BC">
        <w:rPr>
          <w:rFonts w:ascii="Times New Roman" w:eastAsia="Times New Roman" w:hAnsi="Times New Roman" w:cs="Times New Roman"/>
          <w:sz w:val="24"/>
          <w:szCs w:val="24"/>
        </w:rPr>
        <w:t>utterance</w:t>
      </w:r>
      <w:r>
        <w:rPr>
          <w:rFonts w:ascii="Times New Roman" w:eastAsia="Times New Roman" w:hAnsi="Times New Roman" w:cs="Times New Roman"/>
          <w:sz w:val="24"/>
          <w:szCs w:val="24"/>
        </w:rPr>
        <w:t>-level effect – can help students understand how convention and context jointly shape linguistic harm. To be clear, in all three cases, the material is all there;</w:t>
      </w:r>
      <w:r w:rsidR="003F63BC">
        <w:rPr>
          <w:rFonts w:ascii="Times New Roman" w:eastAsia="Times New Roman" w:hAnsi="Times New Roman" w:cs="Times New Roman"/>
          <w:sz w:val="24"/>
          <w:szCs w:val="24"/>
        </w:rPr>
        <w:t xml:space="preserve"> nonetheless,</w:t>
      </w:r>
      <w:r>
        <w:rPr>
          <w:rFonts w:ascii="Times New Roman" w:eastAsia="Times New Roman" w:hAnsi="Times New Roman" w:cs="Times New Roman"/>
          <w:sz w:val="24"/>
          <w:szCs w:val="24"/>
        </w:rPr>
        <w:t xml:space="preserve"> a brief instructor’s note </w:t>
      </w:r>
      <w:r w:rsidR="00B936A4">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bring the hinge into focus.</w:t>
      </w:r>
    </w:p>
    <w:p w14:paraId="00000008" w14:textId="01C9CF1B" w:rsidR="00A102F7" w:rsidRDefault="00F534F6" w:rsidP="007B697B">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adjustments may be needed, they tend to be practical matters for instructors rather than shortcomings of the text. </w:t>
      </w:r>
      <w:r w:rsidR="007B697B">
        <w:rPr>
          <w:rFonts w:ascii="Times New Roman" w:eastAsia="Times New Roman" w:hAnsi="Times New Roman" w:cs="Times New Roman"/>
          <w:sz w:val="24"/>
          <w:szCs w:val="24"/>
        </w:rPr>
        <w:t>First, a</w:t>
      </w:r>
      <w:r>
        <w:rPr>
          <w:rFonts w:ascii="Times New Roman" w:eastAsia="Times New Roman" w:hAnsi="Times New Roman" w:cs="Times New Roman"/>
          <w:sz w:val="24"/>
          <w:szCs w:val="24"/>
        </w:rPr>
        <w:t>ccess to some companion materials could be clearer. For example, Chapter 9 explicitly directs readers to the Tools section of Chapter 11 for additional speech act taxonomies, positioning that material as a natural extension of the chapter’s core analytical framework (258). Similar cross-references appear in discussions of lying, silencing, and consent</w:t>
      </w:r>
      <w:r w:rsidR="007B69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where readers are again directed to </w:t>
      </w:r>
      <w:r w:rsidR="00B30500">
        <w:rPr>
          <w:rFonts w:ascii="Times New Roman" w:eastAsia="Times New Roman" w:hAnsi="Times New Roman" w:cs="Times New Roman"/>
          <w:sz w:val="24"/>
          <w:szCs w:val="24"/>
        </w:rPr>
        <w:t xml:space="preserve">the online-only </w:t>
      </w:r>
      <w:r>
        <w:rPr>
          <w:rFonts w:ascii="Times New Roman" w:eastAsia="Times New Roman" w:hAnsi="Times New Roman" w:cs="Times New Roman"/>
          <w:sz w:val="24"/>
          <w:szCs w:val="24"/>
        </w:rPr>
        <w:t xml:space="preserve">Chapters 11 or 12 through notes and in-text references. Because these supplementary chapters are repeatedly invoked to elaborate taxonomies, clarify speech-act structure, or extend discussions into legal contexts, </w:t>
      </w:r>
      <w:r>
        <w:rPr>
          <w:rFonts w:ascii="Times New Roman" w:eastAsia="Times New Roman" w:hAnsi="Times New Roman" w:cs="Times New Roman"/>
          <w:sz w:val="24"/>
          <w:szCs w:val="24"/>
        </w:rPr>
        <w:lastRenderedPageBreak/>
        <w:t xml:space="preserve">instructors may find it helpful to consolidate access to these </w:t>
      </w:r>
      <w:r w:rsidR="00695A1C">
        <w:rPr>
          <w:rFonts w:ascii="Times New Roman" w:eastAsia="Times New Roman" w:hAnsi="Times New Roman" w:cs="Times New Roman"/>
          <w:sz w:val="24"/>
          <w:szCs w:val="24"/>
        </w:rPr>
        <w:t xml:space="preserve">web-based </w:t>
      </w:r>
      <w:r>
        <w:rPr>
          <w:rFonts w:ascii="Times New Roman" w:eastAsia="Times New Roman" w:hAnsi="Times New Roman" w:cs="Times New Roman"/>
          <w:sz w:val="24"/>
          <w:szCs w:val="24"/>
        </w:rPr>
        <w:t>materials on their course site</w:t>
      </w:r>
      <w:r w:rsidR="007B69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 that students can follow the book’s argumentative and methodological continuities without interruption. S</w:t>
      </w:r>
      <w:r w:rsidR="007B697B">
        <w:rPr>
          <w:rFonts w:ascii="Times New Roman" w:eastAsia="Times New Roman" w:hAnsi="Times New Roman" w:cs="Times New Roman"/>
          <w:sz w:val="24"/>
          <w:szCs w:val="24"/>
        </w:rPr>
        <w:t>econd, s</w:t>
      </w:r>
      <w:r>
        <w:rPr>
          <w:rFonts w:ascii="Times New Roman" w:eastAsia="Times New Roman" w:hAnsi="Times New Roman" w:cs="Times New Roman"/>
          <w:sz w:val="24"/>
          <w:szCs w:val="24"/>
        </w:rPr>
        <w:t xml:space="preserve">everal of the taxonomic groupings (for instance, pairing promises with threats or refusals with apologies) are unusual enough that they may benefit from a short, explicit discussion on why the authors chose them and what alternative categorizations might look like. </w:t>
      </w:r>
      <w:r w:rsidR="007B697B">
        <w:rPr>
          <w:rFonts w:ascii="Times New Roman" w:eastAsia="Times New Roman" w:hAnsi="Times New Roman" w:cs="Times New Roman"/>
          <w:sz w:val="24"/>
          <w:szCs w:val="24"/>
        </w:rPr>
        <w:t xml:space="preserve">Finally, </w:t>
      </w:r>
      <w:proofErr w:type="gramStart"/>
      <w:r w:rsidR="007B697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number of</w:t>
      </w:r>
      <w:proofErr w:type="gramEnd"/>
      <w:r>
        <w:rPr>
          <w:rFonts w:ascii="Times New Roman" w:eastAsia="Times New Roman" w:hAnsi="Times New Roman" w:cs="Times New Roman"/>
          <w:sz w:val="24"/>
          <w:szCs w:val="24"/>
        </w:rPr>
        <w:t xml:space="preserve"> chapters end in deliberate stalemate, which can leave students wanting closure; those </w:t>
      </w:r>
      <w:r w:rsidR="00485935">
        <w:rPr>
          <w:rFonts w:ascii="Times New Roman" w:eastAsia="Times New Roman" w:hAnsi="Times New Roman" w:cs="Times New Roman"/>
          <w:sz w:val="24"/>
          <w:szCs w:val="24"/>
        </w:rPr>
        <w:t xml:space="preserve">aporetic </w:t>
      </w:r>
      <w:r>
        <w:rPr>
          <w:rFonts w:ascii="Times New Roman" w:eastAsia="Times New Roman" w:hAnsi="Times New Roman" w:cs="Times New Roman"/>
          <w:sz w:val="24"/>
          <w:szCs w:val="24"/>
        </w:rPr>
        <w:t>moments can easily be converted</w:t>
      </w:r>
      <w:r w:rsidR="007B697B">
        <w:rPr>
          <w:rFonts w:ascii="Times New Roman" w:eastAsia="Times New Roman" w:hAnsi="Times New Roman" w:cs="Times New Roman"/>
          <w:sz w:val="24"/>
          <w:szCs w:val="24"/>
        </w:rPr>
        <w:t>, however,</w:t>
      </w:r>
      <w:r>
        <w:rPr>
          <w:rFonts w:ascii="Times New Roman" w:eastAsia="Times New Roman" w:hAnsi="Times New Roman" w:cs="Times New Roman"/>
          <w:sz w:val="24"/>
          <w:szCs w:val="24"/>
        </w:rPr>
        <w:t xml:space="preserve"> into structured debates, reflection prompts, or short position papers. </w:t>
      </w:r>
    </w:p>
    <w:p w14:paraId="00000009" w14:textId="60B4E8AA" w:rsidR="00A102F7" w:rsidRDefault="00F534F6" w:rsidP="004177E7">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fit across course levels is not uniform. The book is </w:t>
      </w:r>
      <w:r w:rsidR="00D16D40">
        <w:rPr>
          <w:rFonts w:ascii="Times New Roman" w:eastAsia="Times New Roman" w:hAnsi="Times New Roman" w:cs="Times New Roman"/>
          <w:sz w:val="24"/>
          <w:szCs w:val="24"/>
        </w:rPr>
        <w:t xml:space="preserve">most </w:t>
      </w:r>
      <w:r>
        <w:rPr>
          <w:rFonts w:ascii="Times New Roman" w:eastAsia="Times New Roman" w:hAnsi="Times New Roman" w:cs="Times New Roman"/>
          <w:sz w:val="24"/>
          <w:szCs w:val="24"/>
        </w:rPr>
        <w:t xml:space="preserve">ideally suited to advanced undergraduates majoring in philosophy, who can handle its conceptual density without excessive scaffolding. For students newer to the discipline, instructors may need to pre-teach some methodological ideas, particularly the philosophical emphasis on necessary and sufficient conditions. In many academic contexts outside philosophy, </w:t>
      </w:r>
      <w:r w:rsidR="007A4F81">
        <w:rPr>
          <w:rFonts w:ascii="Times New Roman" w:eastAsia="Times New Roman" w:hAnsi="Times New Roman" w:cs="Times New Roman"/>
          <w:sz w:val="24"/>
          <w:szCs w:val="24"/>
        </w:rPr>
        <w:t xml:space="preserve">including pragmatics and sociolinguistics, </w:t>
      </w:r>
      <w:r>
        <w:rPr>
          <w:rFonts w:ascii="Times New Roman" w:eastAsia="Times New Roman" w:hAnsi="Times New Roman" w:cs="Times New Roman"/>
          <w:sz w:val="24"/>
          <w:szCs w:val="24"/>
        </w:rPr>
        <w:t xml:space="preserve">inquiry aims at pattern-finding, </w:t>
      </w:r>
      <w:r w:rsidR="007B697B">
        <w:rPr>
          <w:rFonts w:ascii="Times New Roman" w:eastAsia="Times New Roman" w:hAnsi="Times New Roman" w:cs="Times New Roman"/>
          <w:i/>
          <w:iCs/>
          <w:sz w:val="24"/>
          <w:szCs w:val="24"/>
        </w:rPr>
        <w:t xml:space="preserve">ceteris paribus </w:t>
      </w:r>
      <w:r w:rsidR="00284E70">
        <w:rPr>
          <w:rFonts w:ascii="Times New Roman" w:eastAsia="Times New Roman" w:hAnsi="Times New Roman" w:cs="Times New Roman"/>
          <w:sz w:val="24"/>
          <w:szCs w:val="24"/>
        </w:rPr>
        <w:t xml:space="preserve">laws, </w:t>
      </w:r>
      <w:r>
        <w:rPr>
          <w:rFonts w:ascii="Times New Roman" w:eastAsia="Times New Roman" w:hAnsi="Times New Roman" w:cs="Times New Roman"/>
          <w:sz w:val="24"/>
          <w:szCs w:val="24"/>
        </w:rPr>
        <w:t>explanation, or prediction</w:t>
      </w:r>
      <w:r w:rsidR="00D16D40">
        <w:rPr>
          <w:rFonts w:ascii="Times New Roman" w:eastAsia="Times New Roman" w:hAnsi="Times New Roman" w:cs="Times New Roman"/>
          <w:sz w:val="24"/>
          <w:szCs w:val="24"/>
        </w:rPr>
        <w:t>/control</w:t>
      </w:r>
      <w:r>
        <w:rPr>
          <w:rFonts w:ascii="Times New Roman" w:eastAsia="Times New Roman" w:hAnsi="Times New Roman" w:cs="Times New Roman"/>
          <w:sz w:val="24"/>
          <w:szCs w:val="24"/>
        </w:rPr>
        <w:t xml:space="preserve"> </w:t>
      </w:r>
      <w:r w:rsidR="004177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without insisting on definitions that capture all and only the relevant cases. </w:t>
      </w:r>
      <w:r w:rsidR="004177E7">
        <w:rPr>
          <w:rFonts w:ascii="Times New Roman" w:eastAsia="Times New Roman" w:hAnsi="Times New Roman" w:cs="Times New Roman"/>
          <w:sz w:val="24"/>
          <w:szCs w:val="24"/>
        </w:rPr>
        <w:t xml:space="preserve">So, depending on the audience, instructors may wish to begin the course with a brief methodological preface on why philosophers seek necessary and sufficient conditions, how taxonomies support conceptual clarity, and </w:t>
      </w:r>
      <w:proofErr w:type="gramStart"/>
      <w:r w:rsidR="004177E7">
        <w:rPr>
          <w:rFonts w:ascii="Times New Roman" w:eastAsia="Times New Roman" w:hAnsi="Times New Roman" w:cs="Times New Roman"/>
          <w:sz w:val="24"/>
          <w:szCs w:val="24"/>
        </w:rPr>
        <w:t>what role</w:t>
      </w:r>
      <w:proofErr w:type="gramEnd"/>
      <w:r w:rsidR="004177E7">
        <w:rPr>
          <w:rFonts w:ascii="Times New Roman" w:eastAsia="Times New Roman" w:hAnsi="Times New Roman" w:cs="Times New Roman"/>
          <w:sz w:val="24"/>
          <w:szCs w:val="24"/>
        </w:rPr>
        <w:t xml:space="preserve"> counterexamples should play. </w:t>
      </w:r>
      <w:r>
        <w:rPr>
          <w:rFonts w:ascii="Times New Roman" w:eastAsia="Times New Roman" w:hAnsi="Times New Roman" w:cs="Times New Roman"/>
          <w:sz w:val="24"/>
          <w:szCs w:val="24"/>
        </w:rPr>
        <w:t xml:space="preserve">Making this explicit can help students understand why the book repeatedly presses questions about boundary cases, </w:t>
      </w:r>
      <w:r w:rsidR="002717B3">
        <w:rPr>
          <w:rFonts w:ascii="Times New Roman" w:eastAsia="Times New Roman" w:hAnsi="Times New Roman" w:cs="Times New Roman"/>
          <w:sz w:val="24"/>
          <w:szCs w:val="24"/>
        </w:rPr>
        <w:t>outliers</w:t>
      </w:r>
      <w:r>
        <w:rPr>
          <w:rFonts w:ascii="Times New Roman" w:eastAsia="Times New Roman" w:hAnsi="Times New Roman" w:cs="Times New Roman"/>
          <w:sz w:val="24"/>
          <w:szCs w:val="24"/>
        </w:rPr>
        <w:t xml:space="preserve">, and definitional adequacy, rather than mistaking this work for unmotivated refinement of terminology or abstract precision pursued independently of explanatory payoff. At the graduate level, the chapters </w:t>
      </w:r>
      <w:r w:rsidR="00CA7FFA">
        <w:rPr>
          <w:rFonts w:ascii="Times New Roman" w:eastAsia="Times New Roman" w:hAnsi="Times New Roman" w:cs="Times New Roman"/>
          <w:sz w:val="24"/>
          <w:szCs w:val="24"/>
        </w:rPr>
        <w:t xml:space="preserve">would </w:t>
      </w:r>
      <w:r>
        <w:rPr>
          <w:rFonts w:ascii="Times New Roman" w:eastAsia="Times New Roman" w:hAnsi="Times New Roman" w:cs="Times New Roman"/>
          <w:sz w:val="24"/>
          <w:szCs w:val="24"/>
        </w:rPr>
        <w:t>function best when paired with the primary sources they summarize; the text seems intentionally introductory and does not aim to replace classic papers.</w:t>
      </w:r>
    </w:p>
    <w:p w14:paraId="0000000D" w14:textId="1EDCC645" w:rsidR="00A102F7" w:rsidRDefault="009F50DC" w:rsidP="009F50DC">
      <w:pPr>
        <w:spacing w:before="240" w:after="240"/>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All told</w:t>
      </w:r>
      <w:r w:rsidR="00F534F6">
        <w:rPr>
          <w:rFonts w:ascii="Times New Roman" w:eastAsia="Times New Roman" w:hAnsi="Times New Roman" w:cs="Times New Roman"/>
          <w:sz w:val="24"/>
          <w:szCs w:val="24"/>
        </w:rPr>
        <w:t>, th</w:t>
      </w:r>
      <w:r>
        <w:rPr>
          <w:rFonts w:ascii="Times New Roman" w:eastAsia="Times New Roman" w:hAnsi="Times New Roman" w:cs="Times New Roman"/>
          <w:sz w:val="24"/>
          <w:szCs w:val="24"/>
        </w:rPr>
        <w:t>is excellent</w:t>
      </w:r>
      <w:r w:rsidR="00F534F6">
        <w:rPr>
          <w:rFonts w:ascii="Times New Roman" w:eastAsia="Times New Roman" w:hAnsi="Times New Roman" w:cs="Times New Roman"/>
          <w:sz w:val="24"/>
          <w:szCs w:val="24"/>
        </w:rPr>
        <w:t xml:space="preserve"> book reads as judicious, thorough, and reliably comprehensive for its intended level. Its strengths, including a flexible, modular organization, a consistent internal chapter design that supports philosophical navigation, well-calibrated examples that anchor abstract distinctions, and a sustained focus on the social and normative dimensions of linguistic practice, make it especially </w:t>
      </w:r>
      <w:r w:rsidR="00FE455B">
        <w:rPr>
          <w:rFonts w:ascii="Times New Roman" w:eastAsia="Times New Roman" w:hAnsi="Times New Roman" w:cs="Times New Roman"/>
          <w:sz w:val="24"/>
          <w:szCs w:val="24"/>
        </w:rPr>
        <w:t>well-suited</w:t>
      </w:r>
      <w:r w:rsidR="00F534F6">
        <w:rPr>
          <w:rFonts w:ascii="Times New Roman" w:eastAsia="Times New Roman" w:hAnsi="Times New Roman" w:cs="Times New Roman"/>
          <w:sz w:val="24"/>
          <w:szCs w:val="24"/>
        </w:rPr>
        <w:t xml:space="preserve"> for undergraduate courses</w:t>
      </w:r>
      <w:r w:rsidR="00346CE6">
        <w:rPr>
          <w:rFonts w:ascii="Times New Roman" w:eastAsia="Times New Roman" w:hAnsi="Times New Roman" w:cs="Times New Roman"/>
          <w:sz w:val="24"/>
          <w:szCs w:val="24"/>
        </w:rPr>
        <w:t xml:space="preserve"> on applied philosophy of language</w:t>
      </w:r>
      <w:r w:rsidR="003F63BC" w:rsidRPr="003F63BC">
        <w:rPr>
          <w:rFonts w:ascii="Times New Roman" w:eastAsia="Times New Roman" w:hAnsi="Times New Roman" w:cs="Times New Roman"/>
          <w:sz w:val="24"/>
          <w:szCs w:val="24"/>
        </w:rPr>
        <w:t xml:space="preserve"> </w:t>
      </w:r>
      <w:r w:rsidR="003F63BC">
        <w:rPr>
          <w:rFonts w:ascii="Times New Roman" w:eastAsia="Times New Roman" w:hAnsi="Times New Roman" w:cs="Times New Roman"/>
          <w:sz w:val="24"/>
          <w:szCs w:val="24"/>
        </w:rPr>
        <w:t>for majors</w:t>
      </w:r>
      <w:r w:rsidR="00F534F6">
        <w:rPr>
          <w:rFonts w:ascii="Times New Roman" w:eastAsia="Times New Roman" w:hAnsi="Times New Roman" w:cs="Times New Roman"/>
          <w:sz w:val="24"/>
          <w:szCs w:val="24"/>
        </w:rPr>
        <w:t xml:space="preserve">. With instructor framing </w:t>
      </w:r>
      <w:r w:rsidR="007A4F81">
        <w:rPr>
          <w:rFonts w:ascii="Times New Roman" w:eastAsia="Times New Roman" w:hAnsi="Times New Roman" w:cs="Times New Roman"/>
          <w:sz w:val="24"/>
          <w:szCs w:val="24"/>
        </w:rPr>
        <w:t>about</w:t>
      </w:r>
      <w:r w:rsidR="00F534F6">
        <w:rPr>
          <w:rFonts w:ascii="Times New Roman" w:eastAsia="Times New Roman" w:hAnsi="Times New Roman" w:cs="Times New Roman"/>
          <w:sz w:val="24"/>
          <w:szCs w:val="24"/>
        </w:rPr>
        <w:t xml:space="preserve"> methodology and a few contextual adjustments, the text scales gracefully to both lower- and higher-level audiences. It succeeds not only in presenting the social philosophy of language with precision but also in conveying why the field matters. For instructors seeking a flexible, well-crafted text that supports both conceptual analysis and classroom discussion, </w:t>
      </w:r>
      <w:r w:rsidR="00F534F6">
        <w:rPr>
          <w:rFonts w:ascii="Times New Roman" w:eastAsia="Times New Roman" w:hAnsi="Times New Roman" w:cs="Times New Roman"/>
          <w:i/>
          <w:iCs/>
          <w:sz w:val="24"/>
          <w:szCs w:val="24"/>
        </w:rPr>
        <w:t>Words in Action</w:t>
      </w:r>
      <w:r w:rsidR="00F534F6">
        <w:rPr>
          <w:rFonts w:ascii="Times New Roman" w:eastAsia="Times New Roman" w:hAnsi="Times New Roman" w:cs="Times New Roman"/>
          <w:sz w:val="24"/>
          <w:szCs w:val="24"/>
        </w:rPr>
        <w:t xml:space="preserve"> is an excellent choice.</w:t>
      </w:r>
    </w:p>
    <w:p w14:paraId="43D52D98" w14:textId="77777777" w:rsidR="00930D8E" w:rsidRDefault="00930D8E" w:rsidP="00930D8E">
      <w:pPr>
        <w:spacing w:before="240" w:after="240"/>
        <w:rPr>
          <w:rFonts w:ascii="Times New Roman" w:eastAsia="Times New Roman" w:hAnsi="Times New Roman" w:cs="Times New Roman"/>
          <w:sz w:val="24"/>
          <w:szCs w:val="24"/>
        </w:rPr>
      </w:pPr>
    </w:p>
    <w:p w14:paraId="0000000E" w14:textId="77777777" w:rsidR="00A102F7" w:rsidRDefault="00F534F6">
      <w:pPr>
        <w:spacing w:before="240" w:after="240"/>
      </w:pPr>
      <w:r>
        <w:rPr>
          <w:rFonts w:ascii="Times New Roman" w:eastAsia="Times New Roman" w:hAnsi="Times New Roman" w:cs="Times New Roman"/>
          <w:sz w:val="24"/>
          <w:szCs w:val="24"/>
        </w:rPr>
        <w:t xml:space="preserve"> </w:t>
      </w:r>
    </w:p>
    <w:p w14:paraId="0000000F" w14:textId="77777777" w:rsidR="00A102F7" w:rsidRDefault="00A102F7"/>
    <w:sectPr w:rsidR="00A102F7">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21D351" w14:textId="77777777" w:rsidR="00EE347D" w:rsidRDefault="00EE347D" w:rsidP="00022B0B">
      <w:pPr>
        <w:spacing w:line="240" w:lineRule="auto"/>
      </w:pPr>
      <w:r>
        <w:separator/>
      </w:r>
    </w:p>
  </w:endnote>
  <w:endnote w:type="continuationSeparator" w:id="0">
    <w:p w14:paraId="55A081BD" w14:textId="77777777" w:rsidR="00EE347D" w:rsidRDefault="00EE347D" w:rsidP="00022B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64AEFBD7-0379-4E56-BD06-3F1BB878528D}"/>
  </w:font>
  <w:font w:name="Cambria">
    <w:panose1 w:val="02040503050406030204"/>
    <w:charset w:val="00"/>
    <w:family w:val="roman"/>
    <w:pitch w:val="variable"/>
    <w:sig w:usb0="E00006FF" w:usb1="420024FF" w:usb2="02000000" w:usb3="00000000" w:csb0="0000019F" w:csb1="00000000"/>
    <w:embedRegular r:id="rId2" w:fontKey="{F3027559-A5D7-49F0-801B-3C10884299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866504"/>
      <w:docPartObj>
        <w:docPartGallery w:val="Page Numbers (Bottom of Page)"/>
        <w:docPartUnique/>
      </w:docPartObj>
    </w:sdtPr>
    <w:sdtEndPr>
      <w:rPr>
        <w:rFonts w:ascii="Times New Roman" w:hAnsi="Times New Roman" w:cs="Times New Roman"/>
        <w:noProof/>
      </w:rPr>
    </w:sdtEndPr>
    <w:sdtContent>
      <w:p w14:paraId="0D8BD62B" w14:textId="53BBF733" w:rsidR="00022B0B" w:rsidRPr="00022B0B" w:rsidRDefault="00022B0B">
        <w:pPr>
          <w:pStyle w:val="Footer"/>
          <w:jc w:val="center"/>
          <w:rPr>
            <w:rFonts w:ascii="Times New Roman" w:hAnsi="Times New Roman" w:cs="Times New Roman"/>
          </w:rPr>
        </w:pPr>
        <w:r w:rsidRPr="00022B0B">
          <w:rPr>
            <w:rFonts w:ascii="Times New Roman" w:hAnsi="Times New Roman" w:cs="Times New Roman"/>
          </w:rPr>
          <w:fldChar w:fldCharType="begin"/>
        </w:r>
        <w:r w:rsidRPr="00022B0B">
          <w:rPr>
            <w:rFonts w:ascii="Times New Roman" w:hAnsi="Times New Roman" w:cs="Times New Roman"/>
          </w:rPr>
          <w:instrText xml:space="preserve"> PAGE   \* MERGEFORMAT </w:instrText>
        </w:r>
        <w:r w:rsidRPr="00022B0B">
          <w:rPr>
            <w:rFonts w:ascii="Times New Roman" w:hAnsi="Times New Roman" w:cs="Times New Roman"/>
          </w:rPr>
          <w:fldChar w:fldCharType="separate"/>
        </w:r>
        <w:r w:rsidRPr="00022B0B">
          <w:rPr>
            <w:rFonts w:ascii="Times New Roman" w:hAnsi="Times New Roman" w:cs="Times New Roman"/>
            <w:noProof/>
          </w:rPr>
          <w:t>2</w:t>
        </w:r>
        <w:r w:rsidRPr="00022B0B">
          <w:rPr>
            <w:rFonts w:ascii="Times New Roman" w:hAnsi="Times New Roman" w:cs="Times New Roman"/>
            <w:noProof/>
          </w:rPr>
          <w:fldChar w:fldCharType="end"/>
        </w:r>
      </w:p>
    </w:sdtContent>
  </w:sdt>
  <w:p w14:paraId="17EBFD84" w14:textId="77777777" w:rsidR="00022B0B" w:rsidRDefault="00022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2361E" w14:textId="77777777" w:rsidR="00EE347D" w:rsidRDefault="00EE347D" w:rsidP="00022B0B">
      <w:pPr>
        <w:spacing w:line="240" w:lineRule="auto"/>
      </w:pPr>
      <w:r>
        <w:separator/>
      </w:r>
    </w:p>
  </w:footnote>
  <w:footnote w:type="continuationSeparator" w:id="0">
    <w:p w14:paraId="6C7D04F9" w14:textId="77777777" w:rsidR="00EE347D" w:rsidRDefault="00EE347D" w:rsidP="00022B0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CF2666"/>
    <w:multiLevelType w:val="hybridMultilevel"/>
    <w:tmpl w:val="7E2AB0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42531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2F7"/>
    <w:rsid w:val="000077F8"/>
    <w:rsid w:val="00022B0B"/>
    <w:rsid w:val="000F7728"/>
    <w:rsid w:val="001121C0"/>
    <w:rsid w:val="0018703A"/>
    <w:rsid w:val="001C78E8"/>
    <w:rsid w:val="002717B3"/>
    <w:rsid w:val="00283CC4"/>
    <w:rsid w:val="00284E70"/>
    <w:rsid w:val="00346CE6"/>
    <w:rsid w:val="003609AC"/>
    <w:rsid w:val="003E21E5"/>
    <w:rsid w:val="003F63BC"/>
    <w:rsid w:val="004177E7"/>
    <w:rsid w:val="004206A7"/>
    <w:rsid w:val="00450BE9"/>
    <w:rsid w:val="0046315F"/>
    <w:rsid w:val="00485935"/>
    <w:rsid w:val="00677988"/>
    <w:rsid w:val="00684CC9"/>
    <w:rsid w:val="00695A1C"/>
    <w:rsid w:val="006D2ADA"/>
    <w:rsid w:val="007219A3"/>
    <w:rsid w:val="00724129"/>
    <w:rsid w:val="007627F2"/>
    <w:rsid w:val="00766E70"/>
    <w:rsid w:val="007A4F81"/>
    <w:rsid w:val="007B697B"/>
    <w:rsid w:val="007E45CD"/>
    <w:rsid w:val="007E6346"/>
    <w:rsid w:val="00821E2A"/>
    <w:rsid w:val="00825862"/>
    <w:rsid w:val="00844453"/>
    <w:rsid w:val="008E18F4"/>
    <w:rsid w:val="009219DF"/>
    <w:rsid w:val="00930D8E"/>
    <w:rsid w:val="00945987"/>
    <w:rsid w:val="00966BA0"/>
    <w:rsid w:val="009C1BEC"/>
    <w:rsid w:val="009D5CFF"/>
    <w:rsid w:val="009D6FAD"/>
    <w:rsid w:val="009F50DC"/>
    <w:rsid w:val="00A027D7"/>
    <w:rsid w:val="00A05A4A"/>
    <w:rsid w:val="00A102F7"/>
    <w:rsid w:val="00AB69A6"/>
    <w:rsid w:val="00B30500"/>
    <w:rsid w:val="00B53B9D"/>
    <w:rsid w:val="00B936A4"/>
    <w:rsid w:val="00BD30A7"/>
    <w:rsid w:val="00BD38AA"/>
    <w:rsid w:val="00BF3178"/>
    <w:rsid w:val="00C749B6"/>
    <w:rsid w:val="00CA7FFA"/>
    <w:rsid w:val="00D16D40"/>
    <w:rsid w:val="00D47BE4"/>
    <w:rsid w:val="00D71941"/>
    <w:rsid w:val="00D8084F"/>
    <w:rsid w:val="00D87C35"/>
    <w:rsid w:val="00DE3B12"/>
    <w:rsid w:val="00E100A2"/>
    <w:rsid w:val="00EE347D"/>
    <w:rsid w:val="00F534F6"/>
    <w:rsid w:val="00F909C6"/>
    <w:rsid w:val="00F928B4"/>
    <w:rsid w:val="00FC3AD8"/>
    <w:rsid w:val="00FC59AB"/>
    <w:rsid w:val="00FE455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2BD5D"/>
  <w15:docId w15:val="{E0BE23D8-4B83-4BB2-A823-43B5DB54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22B0B"/>
    <w:pPr>
      <w:tabs>
        <w:tab w:val="center" w:pos="4680"/>
        <w:tab w:val="right" w:pos="9360"/>
      </w:tabs>
      <w:spacing w:line="240" w:lineRule="auto"/>
    </w:pPr>
  </w:style>
  <w:style w:type="character" w:customStyle="1" w:styleId="HeaderChar">
    <w:name w:val="Header Char"/>
    <w:basedOn w:val="DefaultParagraphFont"/>
    <w:link w:val="Header"/>
    <w:uiPriority w:val="99"/>
    <w:rsid w:val="00022B0B"/>
  </w:style>
  <w:style w:type="paragraph" w:styleId="Footer">
    <w:name w:val="footer"/>
    <w:basedOn w:val="Normal"/>
    <w:link w:val="FooterChar"/>
    <w:uiPriority w:val="99"/>
    <w:unhideWhenUsed/>
    <w:rsid w:val="00022B0B"/>
    <w:pPr>
      <w:tabs>
        <w:tab w:val="center" w:pos="4680"/>
        <w:tab w:val="right" w:pos="9360"/>
      </w:tabs>
      <w:spacing w:line="240" w:lineRule="auto"/>
    </w:pPr>
  </w:style>
  <w:style w:type="character" w:customStyle="1" w:styleId="FooterChar">
    <w:name w:val="Footer Char"/>
    <w:basedOn w:val="DefaultParagraphFont"/>
    <w:link w:val="Footer"/>
    <w:uiPriority w:val="99"/>
    <w:rsid w:val="00022B0B"/>
  </w:style>
  <w:style w:type="paragraph" w:styleId="ListParagraph">
    <w:name w:val="List Paragraph"/>
    <w:basedOn w:val="Normal"/>
    <w:uiPriority w:val="34"/>
    <w:qFormat/>
    <w:rsid w:val="00930D8E"/>
    <w:pPr>
      <w:ind w:left="720"/>
      <w:contextualSpacing/>
    </w:pPr>
  </w:style>
  <w:style w:type="character" w:styleId="CommentReference">
    <w:name w:val="annotation reference"/>
    <w:basedOn w:val="DefaultParagraphFont"/>
    <w:uiPriority w:val="99"/>
    <w:semiHidden/>
    <w:unhideWhenUsed/>
    <w:rsid w:val="00B53B9D"/>
    <w:rPr>
      <w:sz w:val="16"/>
      <w:szCs w:val="16"/>
    </w:rPr>
  </w:style>
  <w:style w:type="paragraph" w:styleId="CommentText">
    <w:name w:val="annotation text"/>
    <w:basedOn w:val="Normal"/>
    <w:link w:val="CommentTextChar"/>
    <w:uiPriority w:val="99"/>
    <w:unhideWhenUsed/>
    <w:rsid w:val="00B53B9D"/>
    <w:pPr>
      <w:spacing w:line="240" w:lineRule="auto"/>
    </w:pPr>
    <w:rPr>
      <w:sz w:val="20"/>
      <w:szCs w:val="20"/>
    </w:rPr>
  </w:style>
  <w:style w:type="character" w:customStyle="1" w:styleId="CommentTextChar">
    <w:name w:val="Comment Text Char"/>
    <w:basedOn w:val="DefaultParagraphFont"/>
    <w:link w:val="CommentText"/>
    <w:uiPriority w:val="99"/>
    <w:rsid w:val="00B53B9D"/>
    <w:rPr>
      <w:sz w:val="20"/>
      <w:szCs w:val="20"/>
    </w:rPr>
  </w:style>
  <w:style w:type="paragraph" w:styleId="CommentSubject">
    <w:name w:val="annotation subject"/>
    <w:basedOn w:val="CommentText"/>
    <w:next w:val="CommentText"/>
    <w:link w:val="CommentSubjectChar"/>
    <w:uiPriority w:val="99"/>
    <w:semiHidden/>
    <w:unhideWhenUsed/>
    <w:rsid w:val="00B53B9D"/>
    <w:rPr>
      <w:b/>
      <w:bCs/>
    </w:rPr>
  </w:style>
  <w:style w:type="character" w:customStyle="1" w:styleId="CommentSubjectChar">
    <w:name w:val="Comment Subject Char"/>
    <w:basedOn w:val="CommentTextChar"/>
    <w:link w:val="CommentSubject"/>
    <w:uiPriority w:val="99"/>
    <w:semiHidden/>
    <w:rsid w:val="00B53B9D"/>
    <w:rPr>
      <w:b/>
      <w:bCs/>
      <w:sz w:val="20"/>
      <w:szCs w:val="20"/>
    </w:rPr>
  </w:style>
  <w:style w:type="paragraph" w:styleId="Revision">
    <w:name w:val="Revision"/>
    <w:hidden/>
    <w:uiPriority w:val="99"/>
    <w:semiHidden/>
    <w:rsid w:val="00B53B9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1942</Words>
  <Characters>11305</Characters>
  <Application>Microsoft Office Word</Application>
  <DocSecurity>0</DocSecurity>
  <Lines>150</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Stainton</dc:creator>
  <cp:lastModifiedBy>Robert Stainton</cp:lastModifiedBy>
  <cp:revision>2</cp:revision>
  <cp:lastPrinted>2026-01-14T18:56:00Z</cp:lastPrinted>
  <dcterms:created xsi:type="dcterms:W3CDTF">2026-02-20T20:57:00Z</dcterms:created>
  <dcterms:modified xsi:type="dcterms:W3CDTF">2026-02-20T20:57:00Z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6edfd133-5065-4a38-866a-bb15ab9c17c6</vt:lpwstr>
  </property>
</Properties>
</file>